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13BE" w14:textId="77777777" w:rsidR="00275BFF" w:rsidRDefault="00312974" w:rsidP="00275BFF">
      <w:pPr>
        <w:rPr>
          <w:b/>
          <w:bCs/>
        </w:rPr>
      </w:pPr>
      <w:r w:rsidRPr="00312974">
        <w:rPr>
          <w:b/>
          <w:bCs/>
        </w:rPr>
        <w:t>ADLİ TATİLDE GÖRÜLEBİLEN DAVALAR</w:t>
      </w:r>
    </w:p>
    <w:p w14:paraId="49114DD2" w14:textId="520AB3AF" w:rsidR="00312974" w:rsidRPr="00275BFF" w:rsidRDefault="00312974" w:rsidP="00275BFF">
      <w:pPr>
        <w:rPr>
          <w:b/>
          <w:bCs/>
        </w:rPr>
      </w:pPr>
      <w:r w:rsidRPr="00312974">
        <w:t xml:space="preserve">6100 sayılı Hukuk Muhakemeleri Kanunu’na göre adli tatil her yıl 20 </w:t>
      </w:r>
      <w:proofErr w:type="gramStart"/>
      <w:r w:rsidRPr="00312974">
        <w:t>Temmuzda</w:t>
      </w:r>
      <w:proofErr w:type="gramEnd"/>
      <w:r w:rsidRPr="00312974">
        <w:t xml:space="preserve"> başlar 31 Ağustosta sona erer. Yeni adli yıl 1 </w:t>
      </w:r>
      <w:proofErr w:type="gramStart"/>
      <w:r w:rsidRPr="00312974">
        <w:t>Eylülde</w:t>
      </w:r>
      <w:proofErr w:type="gramEnd"/>
      <w:r w:rsidRPr="00312974">
        <w:t xml:space="preserve"> başlar. Peki adli tatilde hiçbir iş ve işlem yapılamaz, hiçbir dava görülemez mi?</w:t>
      </w:r>
      <w:r>
        <w:t xml:space="preserve"> Bu konuda kanun maddesi oldukça açıktır. Nispeten daha acele kabul edilen, kamu düzeninden sayılan işler ile davalara bakılmaya devam edecektir. Bunlar;</w:t>
      </w:r>
    </w:p>
    <w:p w14:paraId="2D1847DC" w14:textId="77777777"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ascii="Times New Roman" w:eastAsia="Times New Roman" w:hAnsi="Times New Roman" w:cs="Times New Roman"/>
          <w:b/>
          <w:bCs/>
          <w:color w:val="000000"/>
          <w:sz w:val="18"/>
          <w:szCs w:val="18"/>
          <w:lang w:eastAsia="tr-TR"/>
        </w:rPr>
        <w:t> </w:t>
      </w:r>
      <w:r w:rsidRPr="00312974">
        <w:rPr>
          <w:rFonts w:eastAsia="Times New Roman" w:cstheme="minorHAnsi"/>
          <w:b/>
          <w:bCs/>
          <w:color w:val="000000"/>
          <w:lang w:eastAsia="tr-TR"/>
        </w:rPr>
        <w:t>İhtiyati tedbir, ihtiyati haciz ve delillerin tespiti gibi geçici hukuki koruma,</w:t>
      </w:r>
      <w:r w:rsidRPr="00312974">
        <w:rPr>
          <w:rFonts w:eastAsia="Times New Roman" w:cstheme="minorHAnsi"/>
          <w:color w:val="000000"/>
          <w:lang w:eastAsia="tr-TR"/>
        </w:rPr>
        <w:t xml:space="preserve"> deniz raporlarının alınması ve </w:t>
      </w:r>
      <w:proofErr w:type="spellStart"/>
      <w:r w:rsidRPr="00312974">
        <w:rPr>
          <w:rFonts w:eastAsia="Times New Roman" w:cstheme="minorHAnsi"/>
          <w:color w:val="000000"/>
          <w:lang w:eastAsia="tr-TR"/>
        </w:rPr>
        <w:t>dispeçci</w:t>
      </w:r>
      <w:proofErr w:type="spellEnd"/>
      <w:r w:rsidRPr="00312974">
        <w:rPr>
          <w:rFonts w:eastAsia="Times New Roman" w:cstheme="minorHAnsi"/>
          <w:color w:val="000000"/>
          <w:lang w:eastAsia="tr-TR"/>
        </w:rPr>
        <w:t> atanması talepleri ile bunlara karşı yapılacak itirazlar ve diğer başvurular hakkında karar verilmesi.</w:t>
      </w:r>
    </w:p>
    <w:p w14:paraId="1789998B" w14:textId="685A6878"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eastAsia="Times New Roman" w:cstheme="minorHAnsi"/>
          <w:b/>
          <w:bCs/>
          <w:color w:val="000000"/>
          <w:lang w:eastAsia="tr-TR"/>
        </w:rPr>
        <w:t>Her çeşit nafaka davaları ile </w:t>
      </w:r>
      <w:proofErr w:type="spellStart"/>
      <w:r w:rsidRPr="00312974">
        <w:rPr>
          <w:rFonts w:eastAsia="Times New Roman" w:cstheme="minorHAnsi"/>
          <w:b/>
          <w:bCs/>
          <w:color w:val="000000"/>
          <w:lang w:eastAsia="tr-TR"/>
        </w:rPr>
        <w:t>soybağı</w:t>
      </w:r>
      <w:proofErr w:type="spellEnd"/>
      <w:r w:rsidRPr="00312974">
        <w:rPr>
          <w:rFonts w:eastAsia="Times New Roman" w:cstheme="minorHAnsi"/>
          <w:b/>
          <w:bCs/>
          <w:color w:val="000000"/>
          <w:lang w:eastAsia="tr-TR"/>
        </w:rPr>
        <w:t>, velayet ve vesayete ilişkin dava ya da işler.</w:t>
      </w:r>
    </w:p>
    <w:p w14:paraId="14D41C13" w14:textId="31BD6EA2"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eastAsia="Times New Roman" w:cstheme="minorHAnsi"/>
          <w:color w:val="000000"/>
          <w:lang w:eastAsia="tr-TR"/>
        </w:rPr>
        <w:t>Nüfus kayıtlarının düzeltilmesi işleri ve davaları.</w:t>
      </w:r>
      <w:bookmarkStart w:id="0" w:name="_GoBack"/>
      <w:bookmarkEnd w:id="0"/>
    </w:p>
    <w:p w14:paraId="2845CFAF" w14:textId="26EBE232"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eastAsia="Times New Roman" w:cstheme="minorHAnsi"/>
          <w:b/>
          <w:bCs/>
          <w:color w:val="000000"/>
          <w:lang w:eastAsia="tr-TR"/>
        </w:rPr>
        <w:t>Hizmet akdi veya iş sözleşmesi sebebiyle işçilerin açtıkları davalar.</w:t>
      </w:r>
    </w:p>
    <w:p w14:paraId="193D2AB1" w14:textId="15153C68"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eastAsia="Times New Roman" w:cstheme="minorHAnsi"/>
          <w:color w:val="000000"/>
          <w:lang w:eastAsia="tr-TR"/>
        </w:rPr>
        <w:t>Ticari defterlerin kaybından dolayı kayıp belgesi verilmesi talepleri ile kıymetli evrakın kaybından doğan iptal işleri.</w:t>
      </w:r>
    </w:p>
    <w:p w14:paraId="5A9B9207" w14:textId="16A39968"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eastAsia="Times New Roman" w:cstheme="minorHAnsi"/>
          <w:color w:val="000000"/>
          <w:lang w:eastAsia="tr-TR"/>
        </w:rPr>
        <w:t>İflas ve konkordato ile sermaye şirketleri ve kooperatiflerin uzlaşma suretiyle yeniden yapılandırılmasına ilişkin işler ve davalar.</w:t>
      </w:r>
    </w:p>
    <w:p w14:paraId="1D3E0C8F" w14:textId="17464875" w:rsidR="00312974" w:rsidRPr="005A7013" w:rsidRDefault="00312974" w:rsidP="00275BFF">
      <w:pPr>
        <w:pStyle w:val="ListeParagraf"/>
        <w:numPr>
          <w:ilvl w:val="0"/>
          <w:numId w:val="1"/>
        </w:numPr>
        <w:spacing w:after="0" w:line="240" w:lineRule="atLeast"/>
        <w:jc w:val="both"/>
        <w:rPr>
          <w:rFonts w:eastAsia="Times New Roman" w:cstheme="minorHAnsi"/>
          <w:color w:val="FFFFFF" w:themeColor="background1"/>
          <w:lang w:eastAsia="tr-TR"/>
        </w:rPr>
      </w:pPr>
      <w:r w:rsidRPr="00312974">
        <w:rPr>
          <w:rFonts w:eastAsia="Times New Roman" w:cstheme="minorHAnsi"/>
          <w:color w:val="000000"/>
          <w:lang w:eastAsia="tr-TR"/>
        </w:rPr>
        <w:t>Adli tatilde yapılmasına karar verilen keşifler.</w:t>
      </w:r>
      <w:r w:rsidR="005A7013">
        <w:rPr>
          <w:rFonts w:eastAsia="Times New Roman" w:cstheme="minorHAnsi"/>
          <w:color w:val="000000"/>
          <w:lang w:eastAsia="tr-TR"/>
        </w:rPr>
        <w:t xml:space="preserve"> </w:t>
      </w:r>
      <w:r w:rsidR="005A7013" w:rsidRPr="005A7013">
        <w:rPr>
          <w:rFonts w:eastAsia="Times New Roman" w:cstheme="minorHAnsi"/>
          <w:color w:val="FFFFFF" w:themeColor="background1"/>
          <w:lang w:eastAsia="tr-TR"/>
        </w:rPr>
        <w:t>devrimbozkurt.av.tr</w:t>
      </w:r>
    </w:p>
    <w:p w14:paraId="707480A5" w14:textId="77A692CE"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eastAsia="Times New Roman" w:cstheme="minorHAnsi"/>
          <w:color w:val="000000"/>
          <w:lang w:eastAsia="tr-TR"/>
        </w:rPr>
        <w:t>Tahkim hükümlerine göre, mahkemenin görev alanına giren dava ve işler.</w:t>
      </w:r>
    </w:p>
    <w:p w14:paraId="40782AB5" w14:textId="3EA12009"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eastAsia="Times New Roman" w:cstheme="minorHAnsi"/>
          <w:b/>
          <w:bCs/>
          <w:color w:val="000000"/>
          <w:lang w:eastAsia="tr-TR"/>
        </w:rPr>
        <w:t>Çekişmesiz yargı işleri.</w:t>
      </w:r>
    </w:p>
    <w:p w14:paraId="5D0B49D4" w14:textId="247CD702" w:rsidR="00312974" w:rsidRPr="00312974" w:rsidRDefault="00312974" w:rsidP="00275BFF">
      <w:pPr>
        <w:pStyle w:val="ListeParagraf"/>
        <w:numPr>
          <w:ilvl w:val="0"/>
          <w:numId w:val="1"/>
        </w:numPr>
        <w:spacing w:after="0" w:line="240" w:lineRule="atLeast"/>
        <w:jc w:val="both"/>
        <w:rPr>
          <w:rFonts w:eastAsia="Times New Roman" w:cstheme="minorHAnsi"/>
          <w:color w:val="000000"/>
          <w:lang w:eastAsia="tr-TR"/>
        </w:rPr>
      </w:pPr>
      <w:r w:rsidRPr="00312974">
        <w:rPr>
          <w:rFonts w:eastAsia="Times New Roman" w:cstheme="minorHAnsi"/>
          <w:color w:val="000000"/>
          <w:lang w:eastAsia="tr-TR"/>
        </w:rPr>
        <w:t>Kanunlarda ivedi olduğu belirtilen veya taraflardan birinin talebi üzerine, mahkemece ivedi görülmesine karar verilen dava ve işler.</w:t>
      </w:r>
    </w:p>
    <w:p w14:paraId="19256DB1" w14:textId="77777777" w:rsidR="00275BFF" w:rsidRDefault="00275BFF">
      <w:pPr>
        <w:rPr>
          <w:b/>
          <w:bCs/>
        </w:rPr>
      </w:pPr>
    </w:p>
    <w:p w14:paraId="69FE8294" w14:textId="64512C82" w:rsidR="00312974" w:rsidRPr="00275BFF" w:rsidRDefault="00990A91">
      <w:pPr>
        <w:rPr>
          <w:b/>
          <w:bCs/>
        </w:rPr>
      </w:pPr>
      <w:r w:rsidRPr="00275BFF">
        <w:rPr>
          <w:b/>
          <w:bCs/>
        </w:rPr>
        <w:t>Ceza Muhakemeleri Kanunu’na göre;</w:t>
      </w:r>
    </w:p>
    <w:p w14:paraId="71FF6A0B" w14:textId="77777777" w:rsidR="00990A91" w:rsidRPr="00990A91" w:rsidRDefault="00990A91" w:rsidP="00275BFF">
      <w:pPr>
        <w:pStyle w:val="NormalWeb"/>
        <w:numPr>
          <w:ilvl w:val="0"/>
          <w:numId w:val="2"/>
        </w:numPr>
        <w:shd w:val="clear" w:color="auto" w:fill="FFFFFF"/>
        <w:spacing w:before="0" w:beforeAutospacing="0" w:after="150" w:afterAutospacing="0"/>
        <w:jc w:val="both"/>
        <w:rPr>
          <w:rFonts w:asciiTheme="minorHAnsi" w:hAnsiTheme="minorHAnsi" w:cstheme="minorHAnsi"/>
          <w:sz w:val="22"/>
          <w:szCs w:val="22"/>
        </w:rPr>
      </w:pPr>
      <w:r w:rsidRPr="00990A91">
        <w:rPr>
          <w:rFonts w:asciiTheme="minorHAnsi" w:hAnsiTheme="minorHAnsi" w:cstheme="minorHAnsi"/>
          <w:sz w:val="22"/>
          <w:szCs w:val="22"/>
        </w:rPr>
        <w:t>Ceza işlerini gören makam ve mahkemeler her yıl bir eylülde başlamak üzere, yirmi temmuzdan otuz bir ağustosa kadar çalışmaya ara verirler.</w:t>
      </w:r>
    </w:p>
    <w:p w14:paraId="6E942580" w14:textId="38490F2F" w:rsidR="00990A91" w:rsidRPr="00990A91" w:rsidRDefault="00990A91" w:rsidP="00275BFF">
      <w:pPr>
        <w:pStyle w:val="NormalWeb"/>
        <w:numPr>
          <w:ilvl w:val="0"/>
          <w:numId w:val="2"/>
        </w:numPr>
        <w:shd w:val="clear" w:color="auto" w:fill="FFFFFF"/>
        <w:spacing w:before="0" w:beforeAutospacing="0" w:after="150" w:afterAutospacing="0"/>
        <w:jc w:val="both"/>
        <w:rPr>
          <w:rFonts w:asciiTheme="minorHAnsi" w:hAnsiTheme="minorHAnsi" w:cstheme="minorHAnsi"/>
          <w:sz w:val="22"/>
          <w:szCs w:val="22"/>
        </w:rPr>
      </w:pPr>
      <w:r w:rsidRPr="00990A91">
        <w:rPr>
          <w:rFonts w:asciiTheme="minorHAnsi" w:hAnsiTheme="minorHAnsi" w:cstheme="minorHAnsi"/>
          <w:sz w:val="22"/>
          <w:szCs w:val="22"/>
        </w:rPr>
        <w:t>Soruşturma ile tutuklu işlere ilişkin kovuşturmaların ve ivedi sayılacak diğer hususların tatil süresi içinde ne suretle yerine getirileceği, Hâkimler ve Savcılar Yüksek Kurulunca belirlenir.</w:t>
      </w:r>
    </w:p>
    <w:p w14:paraId="446F82EE" w14:textId="4EB9286B" w:rsidR="00990A91" w:rsidRPr="00990A91" w:rsidRDefault="00990A91" w:rsidP="00275BFF">
      <w:pPr>
        <w:pStyle w:val="NormalWeb"/>
        <w:numPr>
          <w:ilvl w:val="0"/>
          <w:numId w:val="2"/>
        </w:numPr>
        <w:shd w:val="clear" w:color="auto" w:fill="FFFFFF"/>
        <w:spacing w:before="0" w:beforeAutospacing="0" w:after="150" w:afterAutospacing="0"/>
        <w:jc w:val="both"/>
        <w:rPr>
          <w:rFonts w:asciiTheme="minorHAnsi" w:hAnsiTheme="minorHAnsi" w:cstheme="minorHAnsi"/>
          <w:sz w:val="22"/>
          <w:szCs w:val="22"/>
        </w:rPr>
      </w:pPr>
      <w:r w:rsidRPr="00990A91">
        <w:rPr>
          <w:rFonts w:asciiTheme="minorHAnsi" w:hAnsiTheme="minorHAnsi" w:cstheme="minorHAnsi"/>
          <w:sz w:val="22"/>
          <w:szCs w:val="22"/>
        </w:rPr>
        <w:t xml:space="preserve">Tatil süresince bölge adliye mahkemeleri ile Yargıtay, yalnız tutuklu hükümlere ilişkin veya </w:t>
      </w:r>
      <w:proofErr w:type="spellStart"/>
      <w:r w:rsidRPr="00990A91">
        <w:rPr>
          <w:rFonts w:asciiTheme="minorHAnsi" w:hAnsiTheme="minorHAnsi" w:cstheme="minorHAnsi"/>
          <w:sz w:val="22"/>
          <w:szCs w:val="22"/>
        </w:rPr>
        <w:t>Meşhud</w:t>
      </w:r>
      <w:proofErr w:type="spellEnd"/>
      <w:r w:rsidRPr="00990A91">
        <w:rPr>
          <w:rFonts w:asciiTheme="minorHAnsi" w:hAnsiTheme="minorHAnsi" w:cstheme="minorHAnsi"/>
          <w:sz w:val="22"/>
          <w:szCs w:val="22"/>
        </w:rPr>
        <w:t xml:space="preserve"> Suçların Muhakeme Usulü Kanunu gereğince görülen işlerin incelemelerini yapar.</w:t>
      </w:r>
    </w:p>
    <w:p w14:paraId="04FEBFCD" w14:textId="10F2258B" w:rsidR="00990A91" w:rsidRDefault="00990A91" w:rsidP="00275BFF">
      <w:pPr>
        <w:pStyle w:val="NormalWeb"/>
        <w:numPr>
          <w:ilvl w:val="0"/>
          <w:numId w:val="2"/>
        </w:numPr>
        <w:shd w:val="clear" w:color="auto" w:fill="FFFFFF"/>
        <w:spacing w:before="0" w:beforeAutospacing="0" w:after="150" w:afterAutospacing="0"/>
        <w:jc w:val="both"/>
        <w:rPr>
          <w:rFonts w:asciiTheme="minorHAnsi" w:hAnsiTheme="minorHAnsi" w:cstheme="minorHAnsi"/>
          <w:sz w:val="22"/>
          <w:szCs w:val="22"/>
        </w:rPr>
      </w:pPr>
      <w:r w:rsidRPr="00990A91">
        <w:rPr>
          <w:rFonts w:asciiTheme="minorHAnsi" w:hAnsiTheme="minorHAnsi" w:cstheme="minorHAnsi"/>
          <w:sz w:val="22"/>
          <w:szCs w:val="22"/>
        </w:rPr>
        <w:t>Adlî tatile rastlayan süreler işlemez. Bu süreler tatilin bittiği günden itibaren üç gün uzatılmış sayılır.</w:t>
      </w:r>
    </w:p>
    <w:p w14:paraId="349709E8" w14:textId="5C3EDEEA" w:rsidR="00275BFF" w:rsidRPr="00275BFF" w:rsidRDefault="00275BFF" w:rsidP="00275BFF">
      <w:pPr>
        <w:pStyle w:val="NormalWeb"/>
        <w:shd w:val="clear" w:color="auto" w:fill="FFFFFF"/>
        <w:spacing w:before="0" w:beforeAutospacing="0" w:after="150" w:afterAutospacing="0"/>
        <w:rPr>
          <w:rFonts w:asciiTheme="minorHAnsi" w:hAnsiTheme="minorHAnsi" w:cstheme="minorHAnsi"/>
          <w:b/>
          <w:bCs/>
          <w:sz w:val="22"/>
          <w:szCs w:val="22"/>
        </w:rPr>
      </w:pPr>
      <w:r w:rsidRPr="00275BFF">
        <w:rPr>
          <w:rFonts w:asciiTheme="minorHAnsi" w:hAnsiTheme="minorHAnsi" w:cstheme="minorHAnsi"/>
          <w:b/>
          <w:bCs/>
          <w:sz w:val="22"/>
          <w:szCs w:val="22"/>
        </w:rPr>
        <w:t>İdari Yargılama Usulü Kanunu’na göre ise;</w:t>
      </w:r>
    </w:p>
    <w:p w14:paraId="2E937ACF" w14:textId="27313B30" w:rsidR="00275BFF" w:rsidRPr="00275BFF" w:rsidRDefault="00275BFF" w:rsidP="00275BFF">
      <w:pPr>
        <w:pStyle w:val="NormalWeb"/>
        <w:shd w:val="clear" w:color="auto" w:fill="FFFFFF"/>
        <w:spacing w:before="0" w:beforeAutospacing="0" w:after="150" w:afterAutospacing="0"/>
        <w:rPr>
          <w:rFonts w:asciiTheme="minorHAnsi" w:hAnsiTheme="minorHAnsi" w:cstheme="minorHAnsi"/>
          <w:b/>
          <w:bCs/>
          <w:sz w:val="22"/>
          <w:szCs w:val="22"/>
        </w:rPr>
      </w:pPr>
      <w:r w:rsidRPr="00275BFF">
        <w:rPr>
          <w:rFonts w:asciiTheme="minorHAnsi" w:hAnsiTheme="minorHAnsi" w:cstheme="minorHAnsi"/>
          <w:b/>
          <w:bCs/>
          <w:sz w:val="22"/>
          <w:szCs w:val="22"/>
        </w:rPr>
        <w:t xml:space="preserve">Çalışmaya ara verme: Madde 61 </w:t>
      </w:r>
    </w:p>
    <w:p w14:paraId="740F5428" w14:textId="08F01BA8" w:rsidR="00275BFF" w:rsidRDefault="00275BFF" w:rsidP="00275BFF">
      <w:pPr>
        <w:pStyle w:val="NormalWeb"/>
        <w:numPr>
          <w:ilvl w:val="0"/>
          <w:numId w:val="3"/>
        </w:numPr>
        <w:shd w:val="clear" w:color="auto" w:fill="FFFFFF"/>
        <w:spacing w:before="0" w:beforeAutospacing="0" w:after="150" w:afterAutospacing="0"/>
        <w:jc w:val="both"/>
        <w:rPr>
          <w:rFonts w:asciiTheme="minorHAnsi" w:hAnsiTheme="minorHAnsi" w:cstheme="minorHAnsi"/>
          <w:sz w:val="22"/>
          <w:szCs w:val="22"/>
        </w:rPr>
      </w:pPr>
      <w:r w:rsidRPr="00275BFF">
        <w:rPr>
          <w:rFonts w:asciiTheme="minorHAnsi" w:hAnsiTheme="minorHAnsi" w:cstheme="minorHAnsi"/>
          <w:sz w:val="22"/>
          <w:szCs w:val="22"/>
        </w:rPr>
        <w:t xml:space="preserve">Bölge idare, idare ve vergi mahkemeleri her yıl bir eylülde başlamak üzere, yirmi temmuzdan otuz bir ağustosa kadar çalışmaya ara verirler. Ancak, yargı çevresine dahil olduğu bölge idare mahkemesinin bulunduğu il merkezi dışında kalan ve sadece bir idare veya bir vergi mahkemesi bulunan yerlerdeki idari yargı mercileri çalışmaya ara vermeden yararlanamazlar. Bu mahkemeler, </w:t>
      </w:r>
      <w:proofErr w:type="gramStart"/>
      <w:r w:rsidRPr="00275BFF">
        <w:rPr>
          <w:rFonts w:asciiTheme="minorHAnsi" w:hAnsiTheme="minorHAnsi" w:cstheme="minorHAnsi"/>
          <w:sz w:val="22"/>
          <w:szCs w:val="22"/>
        </w:rPr>
        <w:t xml:space="preserve">62 </w:t>
      </w:r>
      <w:proofErr w:type="spellStart"/>
      <w:r w:rsidRPr="00275BFF">
        <w:rPr>
          <w:rFonts w:asciiTheme="minorHAnsi" w:hAnsiTheme="minorHAnsi" w:cstheme="minorHAnsi"/>
          <w:sz w:val="22"/>
          <w:szCs w:val="22"/>
        </w:rPr>
        <w:t>nci</w:t>
      </w:r>
      <w:proofErr w:type="spellEnd"/>
      <w:proofErr w:type="gramEnd"/>
      <w:r w:rsidRPr="00275BFF">
        <w:rPr>
          <w:rFonts w:asciiTheme="minorHAnsi" w:hAnsiTheme="minorHAnsi" w:cstheme="minorHAnsi"/>
          <w:sz w:val="22"/>
          <w:szCs w:val="22"/>
        </w:rPr>
        <w:t xml:space="preserve"> maddedeki sınırlamaya tabi olmaksızın görevlerine devam ederler. </w:t>
      </w:r>
    </w:p>
    <w:p w14:paraId="60A4EE79" w14:textId="60916B4B" w:rsidR="00275BFF" w:rsidRDefault="00275BFF" w:rsidP="00275BFF">
      <w:pPr>
        <w:pStyle w:val="NormalWeb"/>
        <w:numPr>
          <w:ilvl w:val="0"/>
          <w:numId w:val="3"/>
        </w:numPr>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Çalışmaya </w:t>
      </w:r>
      <w:r w:rsidRPr="00275BFF">
        <w:rPr>
          <w:rFonts w:asciiTheme="minorHAnsi" w:hAnsiTheme="minorHAnsi" w:cstheme="minorHAnsi"/>
          <w:sz w:val="22"/>
          <w:szCs w:val="22"/>
        </w:rPr>
        <w:t xml:space="preserve">ara verme süresi içinde; bölge idare mahkemesi başkanının önerisi üzerine, Hâkimler ve Savcılar Yüksek Kurulunca, birden fazla idari yargı mercii olan yerlerde idare veya vergi mahkemeleri başkan ve üyeleri arasından görevlendirilecek yeteri kadar hâkimin katıldığı bir nöbetçi mahkeme kurulur. Bölge idare mahkemeleri için ise bölge idare mahkemesi başkanının önerisi üzerine, Hâkimler ve Savcılar Yüksek Kurulunca, tüm daire başkan ve üyeleri arasından görevlendirilecek yeterli sayıda nöbetçi daire kurulur. </w:t>
      </w:r>
    </w:p>
    <w:p w14:paraId="76A7927C" w14:textId="77777777" w:rsidR="00275BFF" w:rsidRDefault="00275BFF" w:rsidP="00275BFF">
      <w:pPr>
        <w:pStyle w:val="NormalWeb"/>
        <w:numPr>
          <w:ilvl w:val="0"/>
          <w:numId w:val="3"/>
        </w:numPr>
        <w:shd w:val="clear" w:color="auto" w:fill="FFFFFF"/>
        <w:spacing w:before="0" w:beforeAutospacing="0" w:after="150" w:afterAutospacing="0"/>
        <w:rPr>
          <w:rFonts w:asciiTheme="minorHAnsi" w:hAnsiTheme="minorHAnsi" w:cstheme="minorHAnsi"/>
          <w:sz w:val="22"/>
          <w:szCs w:val="22"/>
        </w:rPr>
      </w:pPr>
      <w:r w:rsidRPr="00275BFF">
        <w:rPr>
          <w:rFonts w:asciiTheme="minorHAnsi" w:hAnsiTheme="minorHAnsi" w:cstheme="minorHAnsi"/>
          <w:sz w:val="22"/>
          <w:szCs w:val="22"/>
        </w:rPr>
        <w:lastRenderedPageBreak/>
        <w:t xml:space="preserve">Çalışmaya ara vermeden yararlanamayanlar ve nöbetçi kalanların yıllık izin hakları saklıdır. </w:t>
      </w:r>
    </w:p>
    <w:p w14:paraId="377B4A47" w14:textId="0B6927CD" w:rsidR="00275BFF" w:rsidRPr="00275BFF" w:rsidRDefault="00275BFF" w:rsidP="00275BFF">
      <w:pPr>
        <w:pStyle w:val="NormalWeb"/>
        <w:shd w:val="clear" w:color="auto" w:fill="FFFFFF"/>
        <w:spacing w:before="0" w:beforeAutospacing="0" w:after="150" w:afterAutospacing="0"/>
        <w:ind w:left="360"/>
        <w:rPr>
          <w:rFonts w:asciiTheme="minorHAnsi" w:hAnsiTheme="minorHAnsi" w:cstheme="minorHAnsi"/>
          <w:b/>
          <w:bCs/>
          <w:sz w:val="22"/>
          <w:szCs w:val="22"/>
        </w:rPr>
      </w:pPr>
      <w:r w:rsidRPr="00275BFF">
        <w:rPr>
          <w:rFonts w:asciiTheme="minorHAnsi" w:hAnsiTheme="minorHAnsi" w:cstheme="minorHAnsi"/>
          <w:b/>
          <w:bCs/>
          <w:sz w:val="22"/>
          <w:szCs w:val="22"/>
        </w:rPr>
        <w:t xml:space="preserve">Nöbetçi mahkemenin görevleri: Madde 62 </w:t>
      </w:r>
    </w:p>
    <w:p w14:paraId="3C2BCA32" w14:textId="77777777" w:rsidR="00275BFF" w:rsidRDefault="00275BFF" w:rsidP="00275BFF">
      <w:pPr>
        <w:pStyle w:val="NormalWeb"/>
        <w:shd w:val="clear" w:color="auto" w:fill="FFFFFF"/>
        <w:spacing w:before="0" w:beforeAutospacing="0" w:after="150" w:afterAutospacing="0"/>
        <w:ind w:left="360"/>
        <w:rPr>
          <w:rFonts w:asciiTheme="minorHAnsi" w:hAnsiTheme="minorHAnsi" w:cstheme="minorHAnsi"/>
          <w:sz w:val="22"/>
          <w:szCs w:val="22"/>
        </w:rPr>
      </w:pPr>
      <w:r w:rsidRPr="00275BFF">
        <w:rPr>
          <w:rFonts w:asciiTheme="minorHAnsi" w:hAnsiTheme="minorHAnsi" w:cstheme="minorHAnsi"/>
          <w:sz w:val="22"/>
          <w:szCs w:val="22"/>
        </w:rPr>
        <w:t xml:space="preserve">Nöbetçi mahkeme çalışmaya ara verme süresi içinde aşağıda yazılı işleri görür: </w:t>
      </w:r>
    </w:p>
    <w:p w14:paraId="3CAEA4EF" w14:textId="77777777" w:rsidR="00275BFF" w:rsidRDefault="00275BFF" w:rsidP="00275BFF">
      <w:pPr>
        <w:pStyle w:val="NormalWeb"/>
        <w:shd w:val="clear" w:color="auto" w:fill="FFFFFF"/>
        <w:spacing w:before="0" w:beforeAutospacing="0" w:after="150" w:afterAutospacing="0"/>
        <w:ind w:left="360"/>
        <w:rPr>
          <w:rFonts w:asciiTheme="minorHAnsi" w:hAnsiTheme="minorHAnsi" w:cstheme="minorHAnsi"/>
          <w:sz w:val="22"/>
          <w:szCs w:val="22"/>
        </w:rPr>
      </w:pPr>
      <w:r w:rsidRPr="00275BFF">
        <w:rPr>
          <w:rFonts w:asciiTheme="minorHAnsi" w:hAnsiTheme="minorHAnsi" w:cstheme="minorHAnsi"/>
          <w:sz w:val="22"/>
          <w:szCs w:val="22"/>
        </w:rPr>
        <w:t xml:space="preserve">a) Yürütmenin durdurulmasına ve delillerin tespitine ait işler, </w:t>
      </w:r>
    </w:p>
    <w:p w14:paraId="72FA975D" w14:textId="76F8AA6A" w:rsidR="00275BFF" w:rsidRPr="00275BFF" w:rsidRDefault="00275BFF" w:rsidP="00275BFF">
      <w:pPr>
        <w:pStyle w:val="NormalWeb"/>
        <w:shd w:val="clear" w:color="auto" w:fill="FFFFFF"/>
        <w:spacing w:before="0" w:beforeAutospacing="0" w:after="150" w:afterAutospacing="0"/>
        <w:ind w:left="360"/>
        <w:rPr>
          <w:rFonts w:asciiTheme="minorHAnsi" w:hAnsiTheme="minorHAnsi" w:cstheme="minorHAnsi"/>
          <w:sz w:val="22"/>
          <w:szCs w:val="22"/>
        </w:rPr>
      </w:pPr>
      <w:r w:rsidRPr="00275BFF">
        <w:rPr>
          <w:rFonts w:asciiTheme="minorHAnsi" w:hAnsiTheme="minorHAnsi" w:cstheme="minorHAnsi"/>
          <w:sz w:val="22"/>
          <w:szCs w:val="22"/>
        </w:rPr>
        <w:t>b) Kanunen belli süre içinde karara bağlanması gereken işler.</w:t>
      </w:r>
    </w:p>
    <w:p w14:paraId="4ECE1155" w14:textId="77777777" w:rsidR="00990A91" w:rsidRDefault="00990A91"/>
    <w:sectPr w:rsidR="00990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2FB"/>
    <w:multiLevelType w:val="hybridMultilevel"/>
    <w:tmpl w:val="DA5C9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A44D8E"/>
    <w:multiLevelType w:val="hybridMultilevel"/>
    <w:tmpl w:val="2D70A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405F8E"/>
    <w:multiLevelType w:val="hybridMultilevel"/>
    <w:tmpl w:val="BDC2404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3C"/>
    <w:rsid w:val="00275BFF"/>
    <w:rsid w:val="00312974"/>
    <w:rsid w:val="005A7013"/>
    <w:rsid w:val="008D31F3"/>
    <w:rsid w:val="00990A91"/>
    <w:rsid w:val="00AD3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BFCD"/>
  <w15:chartTrackingRefBased/>
  <w15:docId w15:val="{ED026361-7CD9-471A-9B43-28477769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2974"/>
    <w:pPr>
      <w:ind w:left="720"/>
      <w:contextualSpacing/>
    </w:pPr>
  </w:style>
  <w:style w:type="character" w:customStyle="1" w:styleId="spelle">
    <w:name w:val="spelle"/>
    <w:basedOn w:val="VarsaylanParagrafYazTipi"/>
    <w:rsid w:val="00312974"/>
  </w:style>
  <w:style w:type="character" w:customStyle="1" w:styleId="grame">
    <w:name w:val="grame"/>
    <w:basedOn w:val="VarsaylanParagrafYazTipi"/>
    <w:rsid w:val="00312974"/>
  </w:style>
  <w:style w:type="paragraph" w:styleId="NormalWeb">
    <w:name w:val="Normal (Web)"/>
    <w:basedOn w:val="Normal"/>
    <w:uiPriority w:val="99"/>
    <w:semiHidden/>
    <w:unhideWhenUsed/>
    <w:rsid w:val="00990A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1457">
      <w:bodyDiv w:val="1"/>
      <w:marLeft w:val="0"/>
      <w:marRight w:val="0"/>
      <w:marTop w:val="0"/>
      <w:marBottom w:val="0"/>
      <w:divBdr>
        <w:top w:val="none" w:sz="0" w:space="0" w:color="auto"/>
        <w:left w:val="none" w:sz="0" w:space="0" w:color="auto"/>
        <w:bottom w:val="none" w:sz="0" w:space="0" w:color="auto"/>
        <w:right w:val="none" w:sz="0" w:space="0" w:color="auto"/>
      </w:divBdr>
    </w:div>
    <w:div w:id="19033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4</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dc:creator>
  <cp:keywords>Adli tatil;dava</cp:keywords>
  <dc:description/>
  <cp:lastModifiedBy>Devrim Bozkurt</cp:lastModifiedBy>
  <cp:revision>2</cp:revision>
  <dcterms:created xsi:type="dcterms:W3CDTF">2019-08-02T08:02:00Z</dcterms:created>
  <dcterms:modified xsi:type="dcterms:W3CDTF">2019-08-02T08:02:00Z</dcterms:modified>
</cp:coreProperties>
</file>